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7"/>
        <w:rPr>
          <w:b/>
          <w:bCs/>
          <w:sz w:val="44"/>
          <w:szCs w:val="44"/>
        </w:rPr>
      </w:pPr>
      <w:r>
        <w:rPr>
          <w:rFonts w:hint="eastAsia" w:ascii="仿宋" w:hAnsi="仿宋" w:eastAsia="仿宋" w:cs="仿宋"/>
          <w:b/>
          <w:bCs/>
          <w:sz w:val="44"/>
          <w:szCs w:val="44"/>
          <w:lang w:eastAsia="zh-CN"/>
        </w:rPr>
        <w:t>马克思主义学院</w:t>
      </w:r>
      <w:r>
        <w:rPr>
          <w:rFonts w:hint="eastAsia" w:ascii="仿宋" w:hAnsi="仿宋" w:eastAsia="仿宋" w:cs="仿宋"/>
          <w:b/>
          <w:bCs/>
          <w:sz w:val="44"/>
          <w:szCs w:val="44"/>
          <w:lang w:val="en-US" w:eastAsia="zh-CN"/>
        </w:rPr>
        <w:t>2014-2016年</w:t>
      </w:r>
      <w:r>
        <w:rPr>
          <w:rFonts w:hint="eastAsia" w:ascii="仿宋" w:hAnsi="仿宋" w:eastAsia="仿宋" w:cs="仿宋"/>
          <w:b/>
          <w:bCs/>
          <w:sz w:val="44"/>
          <w:szCs w:val="44"/>
        </w:rPr>
        <w:t>课题立项情况</w:t>
      </w:r>
    </w:p>
    <w:tbl>
      <w:tblPr>
        <w:tblStyle w:val="4"/>
        <w:tblpPr w:leftFromText="180" w:rightFromText="180" w:vertAnchor="text" w:horzAnchor="page" w:tblpX="1436" w:tblpY="859"/>
        <w:tblOverlap w:val="never"/>
        <w:tblW w:w="142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78"/>
        <w:gridCol w:w="1485"/>
        <w:gridCol w:w="1110"/>
        <w:gridCol w:w="1620"/>
        <w:gridCol w:w="1125"/>
        <w:gridCol w:w="2190"/>
        <w:gridCol w:w="132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534" w:type="dxa"/>
            <w:vAlign w:val="center"/>
          </w:tcPr>
          <w:p>
            <w:pPr>
              <w:adjustRightInd w:val="0"/>
              <w:snapToGrid w:val="0"/>
              <w:jc w:val="center"/>
              <w:outlineLvl w:val="8"/>
              <w:rPr>
                <w:rFonts w:ascii="仿宋" w:hAnsi="仿宋" w:eastAsia="仿宋" w:cs="仿宋"/>
                <w:b/>
                <w:bCs/>
                <w:sz w:val="24"/>
                <w:szCs w:val="24"/>
              </w:rPr>
            </w:pPr>
            <w:r>
              <w:rPr>
                <w:rFonts w:hint="eastAsia" w:ascii="仿宋" w:hAnsi="仿宋" w:eastAsia="仿宋" w:cs="仿宋"/>
                <w:b/>
                <w:bCs/>
                <w:sz w:val="24"/>
                <w:szCs w:val="24"/>
              </w:rPr>
              <w:t>序号</w:t>
            </w:r>
          </w:p>
        </w:tc>
        <w:tc>
          <w:tcPr>
            <w:tcW w:w="3978" w:type="dxa"/>
            <w:vAlign w:val="center"/>
          </w:tcPr>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项目名称</w:t>
            </w:r>
          </w:p>
        </w:tc>
        <w:tc>
          <w:tcPr>
            <w:tcW w:w="148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项目编号</w:t>
            </w:r>
          </w:p>
        </w:tc>
        <w:tc>
          <w:tcPr>
            <w:tcW w:w="1110" w:type="dxa"/>
            <w:vAlign w:val="center"/>
          </w:tcPr>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负责人</w:t>
            </w:r>
          </w:p>
        </w:tc>
        <w:tc>
          <w:tcPr>
            <w:tcW w:w="1620" w:type="dxa"/>
            <w:vAlign w:val="center"/>
          </w:tcPr>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所属单位</w:t>
            </w:r>
          </w:p>
        </w:tc>
        <w:tc>
          <w:tcPr>
            <w:tcW w:w="1125" w:type="dxa"/>
            <w:vAlign w:val="center"/>
          </w:tcPr>
          <w:p>
            <w:pPr>
              <w:widowControl/>
              <w:adjustRightInd w:val="0"/>
              <w:snapToGrid w:val="0"/>
              <w:jc w:val="center"/>
              <w:textAlignment w:val="bottom"/>
              <w:outlineLvl w:val="8"/>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学科</w:t>
            </w:r>
          </w:p>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分类</w:t>
            </w:r>
          </w:p>
        </w:tc>
        <w:tc>
          <w:tcPr>
            <w:tcW w:w="2190" w:type="dxa"/>
            <w:vAlign w:val="center"/>
          </w:tcPr>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项目分类</w:t>
            </w:r>
          </w:p>
        </w:tc>
        <w:tc>
          <w:tcPr>
            <w:tcW w:w="1320" w:type="dxa"/>
            <w:vAlign w:val="center"/>
          </w:tcPr>
          <w:p>
            <w:pPr>
              <w:widowControl/>
              <w:adjustRightInd w:val="0"/>
              <w:snapToGrid w:val="0"/>
              <w:jc w:val="center"/>
              <w:textAlignment w:val="bottom"/>
              <w:outlineLvl w:val="8"/>
              <w:rPr>
                <w:rFonts w:hint="eastAsia" w:ascii="仿宋" w:hAnsi="仿宋" w:eastAsia="仿宋" w:cs="仿宋"/>
                <w:b/>
                <w:bCs/>
                <w:color w:val="000000"/>
                <w:kern w:val="0"/>
                <w:sz w:val="24"/>
                <w:szCs w:val="24"/>
                <w:lang w:bidi="ar"/>
              </w:rPr>
            </w:pPr>
            <w:r>
              <w:rPr>
                <w:rFonts w:hint="eastAsia" w:ascii="仿宋" w:hAnsi="仿宋" w:eastAsia="仿宋" w:cs="仿宋"/>
                <w:b/>
                <w:bCs/>
                <w:color w:val="000000"/>
                <w:kern w:val="0"/>
                <w:sz w:val="24"/>
                <w:szCs w:val="24"/>
                <w:lang w:bidi="ar"/>
              </w:rPr>
              <w:t>立项</w:t>
            </w:r>
          </w:p>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日期</w:t>
            </w:r>
          </w:p>
        </w:tc>
        <w:tc>
          <w:tcPr>
            <w:tcW w:w="885" w:type="dxa"/>
            <w:vAlign w:val="center"/>
          </w:tcPr>
          <w:p>
            <w:pPr>
              <w:widowControl/>
              <w:adjustRightInd w:val="0"/>
              <w:snapToGrid w:val="0"/>
              <w:jc w:val="center"/>
              <w:textAlignment w:val="bottom"/>
              <w:outlineLvl w:val="8"/>
              <w:rPr>
                <w:rFonts w:ascii="仿宋" w:hAnsi="仿宋" w:eastAsia="仿宋" w:cs="仿宋"/>
                <w:b/>
                <w:bCs/>
                <w:sz w:val="24"/>
                <w:szCs w:val="24"/>
              </w:rPr>
            </w:pPr>
            <w:r>
              <w:rPr>
                <w:rFonts w:hint="eastAsia" w:ascii="仿宋" w:hAnsi="仿宋" w:eastAsia="仿宋" w:cs="仿宋"/>
                <w:b/>
                <w:bCs/>
                <w:color w:val="000000"/>
                <w:kern w:val="0"/>
                <w:sz w:val="24"/>
                <w:szCs w:val="24"/>
                <w:lang w:bidi="ar"/>
              </w:rPr>
              <w:t>项目经费（万）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现阶段基层民意引导机制创新研究——以广州市为例</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2016GZYB22</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曾志浩</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广州市社会科学规划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2016-06-30</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指导中职学校德育课优质课程建设</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201632</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李冬娜</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广东省教育厅育苗项目(人文)</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2016-05-23</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3</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广东省特支计划青年文化英才</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NO201529003</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李尚旗</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2016-05-01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4</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中职德育研究项目管理、特色与品牌培育及成果展示</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SZ2016DY</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余翔</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2016-04-21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5</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扶持高校马克思主义学院建设</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省委宣传部</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汪永智</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2016-03-15</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6</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中职学校德育队伍能力提升计划</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粤教思函2016年第39号文件</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汪永智</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教育学</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2016-03-15</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7</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公共危机常态化管理视域下公民忧患意识研究——以广州市为例</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GD15XMK07</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刘绮婷</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广东省哲学社会科学“十一五”规划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2016-03-04</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8</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本科院校思想政治理论课微课资源开发：《毛泽东思想和中国特色社会主义理论体系概论》</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2015年省级学校德育能力提升项目</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李琴</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广东省高高等学校学科建设专项资金</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2015-10-10</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9</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高校思想政治课融入文化素质教育教学改革研究-整合思维植入视角</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414</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秦素菡</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教育学</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广东省发展和改革委员会广东省重大战略产业发展专项</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2015-08-28</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10</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高校思政课“学生-教师-社会”三维互动实践教学模式研究——以“社会调查”实践方式为例</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1524638</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罗伟玲</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2015-07-01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11</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全省中等职业学校教师班主任工作胜任力培养</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粤教思函【2015】35号</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刘春雁</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其它</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2015-06-15</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12</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城市特殊流动人群非制度化利益表达及其治理模式研究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（15CKS044）</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李尚旗</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国家社会科学基金项目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2015-06-13</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13</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粤东西北地区实践育人资源开发与利用研究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JYZD201510</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曾志浩</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2015-06-10</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14</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社会转型期城市民族矛盾冲突的防治机制研究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GD12XMK02</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李琴</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2015-05-30</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15</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《毛泽东思想和中国特色社会主义理论体系概论》</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无</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李尚旗</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2015-03-15</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16</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网络文化多元背景下高校青年教师社会主义政治文化认同的培育机制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2015DYZZ009</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李尚旗</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广东省教育科学“十一五”规划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2015-03-10</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17</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传统文化与当代人生</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1523932</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李志安</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2015-02-28</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18</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促进大学生政治认同的实现方式</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2014JKDYZ01</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金素端</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广东省教育科学“十一五”规划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2015-02-23</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19</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社会主义核心价值观的强化认同研究——基于特色校园文化的理论视域</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2014年省教厅思政课题重点项目</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金素端</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广东省高校思想政治教育课题</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2015-02-17</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20</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新形势下“平安高校”建设研究——基于广州市高校忧患意识教育视角</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69</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刘绮婷</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广东省高校思想政治教育课题</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2015-02-06</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21</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美国意识形态建设的现状及其对中国的启示</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Yq2014114</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曾志浩</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广东高校优秀青年创新人才培育项目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2014-12-31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22</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当代俄罗斯马克思主义流派的发展与衍变研究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14YJAZH009</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陈杨</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教育部人文社会科学研究项目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2014-12-01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23</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马克思主义中国化话语建构研究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GD14YMK02</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孟令蓉</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2014-11-11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24</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马克思主义中国化话语建构研究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14SKY26</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孟令蓉</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2014-09-01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25</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《新时期社会主义核心价值观与高校思想政治理论课程改革</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1720924</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秦素菡</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2014-08-29</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26</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休谟同情理论对大学生道德教育的启示</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14SKY23</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罗伟玲</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哲学</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校级科研项目</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2014-07-15</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27</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当代美国意识形态及其发展趋势研究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14YJC710052</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曾志浩</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教育部</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2014-07-03</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28</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课题式教学法在高校思想政治理论课中的运用研究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647</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刘绮婷</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广东省高高等学校学科建设专项资金</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2014-06-30</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jc w:val="center"/>
              <w:rPr>
                <w:rFonts w:ascii="仿宋" w:hAnsi="仿宋" w:eastAsia="仿宋" w:cs="仿宋"/>
                <w:sz w:val="24"/>
                <w:szCs w:val="24"/>
              </w:rPr>
            </w:pPr>
            <w:r>
              <w:rPr>
                <w:rFonts w:hint="eastAsia" w:ascii="仿宋" w:hAnsi="仿宋" w:eastAsia="仿宋" w:cs="仿宋"/>
                <w:sz w:val="24"/>
                <w:szCs w:val="24"/>
              </w:rPr>
              <w:t>29</w:t>
            </w:r>
          </w:p>
        </w:tc>
        <w:tc>
          <w:tcPr>
            <w:tcW w:w="3978"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bookmarkStart w:id="0" w:name="_GoBack"/>
            <w:bookmarkEnd w:id="0"/>
            <w:r>
              <w:rPr>
                <w:rFonts w:hint="eastAsia" w:ascii="仿宋" w:hAnsi="仿宋" w:eastAsia="仿宋" w:cs="仿宋"/>
                <w:color w:val="000000"/>
                <w:kern w:val="0"/>
                <w:sz w:val="28"/>
                <w:szCs w:val="28"/>
                <w:lang w:bidi="ar"/>
              </w:rPr>
              <w:t>过渡时期总路线社会传播研究</w:t>
            </w:r>
          </w:p>
        </w:tc>
        <w:tc>
          <w:tcPr>
            <w:tcW w:w="1485" w:type="dxa"/>
            <w:vAlign w:val="center"/>
          </w:tcPr>
          <w:p>
            <w:pPr>
              <w:widowControl/>
              <w:jc w:val="center"/>
              <w:textAlignment w:val="bottom"/>
              <w:rPr>
                <w:rFonts w:ascii="仿宋" w:hAnsi="仿宋" w:eastAsia="仿宋" w:cs="仿宋"/>
                <w:sz w:val="24"/>
                <w:szCs w:val="24"/>
              </w:rPr>
            </w:pPr>
            <w:r>
              <w:rPr>
                <w:rFonts w:hint="eastAsia" w:ascii="仿宋" w:hAnsi="仿宋" w:eastAsia="仿宋" w:cs="仿宋"/>
                <w:color w:val="000000"/>
                <w:kern w:val="0"/>
                <w:sz w:val="24"/>
                <w:szCs w:val="24"/>
                <w:lang w:bidi="ar"/>
              </w:rPr>
              <w:t>GD13XDS04</w:t>
            </w:r>
          </w:p>
        </w:tc>
        <w:tc>
          <w:tcPr>
            <w:tcW w:w="11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余翔</w:t>
            </w:r>
          </w:p>
        </w:tc>
        <w:tc>
          <w:tcPr>
            <w:tcW w:w="162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马克思主义学院</w:t>
            </w:r>
          </w:p>
        </w:tc>
        <w:tc>
          <w:tcPr>
            <w:tcW w:w="1125"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马克思主义</w:t>
            </w:r>
          </w:p>
        </w:tc>
        <w:tc>
          <w:tcPr>
            <w:tcW w:w="2190" w:type="dxa"/>
            <w:vAlign w:val="center"/>
          </w:tcPr>
          <w:p>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bottom"/>
              <w:outlineLvl w:val="9"/>
              <w:rPr>
                <w:rFonts w:ascii="仿宋" w:hAnsi="仿宋" w:eastAsia="仿宋" w:cs="仿宋"/>
                <w:sz w:val="28"/>
                <w:szCs w:val="28"/>
              </w:rPr>
            </w:pPr>
            <w:r>
              <w:rPr>
                <w:rFonts w:hint="eastAsia" w:ascii="仿宋" w:hAnsi="仿宋" w:eastAsia="仿宋" w:cs="仿宋"/>
                <w:color w:val="000000"/>
                <w:kern w:val="0"/>
                <w:sz w:val="28"/>
                <w:szCs w:val="28"/>
                <w:lang w:bidi="ar"/>
              </w:rPr>
              <w:t>广东省哲学社会科学“十一五”规划</w:t>
            </w:r>
          </w:p>
        </w:tc>
        <w:tc>
          <w:tcPr>
            <w:tcW w:w="1320"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2014-03-21</w:t>
            </w:r>
          </w:p>
        </w:tc>
        <w:tc>
          <w:tcPr>
            <w:tcW w:w="885" w:type="dxa"/>
            <w:vAlign w:val="center"/>
          </w:tcPr>
          <w:p>
            <w:pPr>
              <w:widowControl/>
              <w:jc w:val="center"/>
              <w:textAlignment w:val="bottom"/>
              <w:rPr>
                <w:rFonts w:ascii="仿宋" w:hAnsi="仿宋" w:eastAsia="仿宋" w:cs="仿宋"/>
                <w:sz w:val="22"/>
                <w:szCs w:val="22"/>
              </w:rPr>
            </w:pPr>
            <w:r>
              <w:rPr>
                <w:rFonts w:hint="eastAsia" w:ascii="仿宋" w:hAnsi="仿宋" w:eastAsia="仿宋" w:cs="仿宋"/>
                <w:color w:val="000000"/>
                <w:kern w:val="0"/>
                <w:sz w:val="22"/>
                <w:szCs w:val="22"/>
                <w:lang w:bidi="ar"/>
              </w:rPr>
              <w:t>4</w:t>
            </w:r>
          </w:p>
        </w:tc>
      </w:tr>
    </w:tbl>
    <w:p>
      <w:pPr>
        <w:spacing w:line="360" w:lineRule="auto"/>
        <w:jc w:val="center"/>
        <w:rPr>
          <w:rFonts w:ascii="仿宋" w:hAnsi="仿宋" w:eastAsia="仿宋" w:cs="仿宋"/>
          <w:sz w:val="24"/>
          <w:szCs w:val="24"/>
        </w:rPr>
      </w:pPr>
    </w:p>
    <w:p/>
    <w:sectPr>
      <w:pgSz w:w="16838" w:h="11906" w:orient="landscape"/>
      <w:pgMar w:top="1077" w:right="1157" w:bottom="952" w:left="138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FF4F7E"/>
    <w:rsid w:val="3AA025F5"/>
    <w:rsid w:val="5AFF4F7E"/>
    <w:rsid w:val="628B3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2017-07-03T09:33:00Z</dcterms:created>
  <dc:creator>Administrator</dc:creator>
  <cp:lastModifiedBy>Administrator</cp:lastModifiedBy>
  <dcterms:modified xsi:type="dcterms:W3CDTF">2017-07-05T03:59:41Z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